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fldChar w:fldCharType="begin"/>
      </w:r>
      <w:r>
        <w:rPr>
          <w:rFonts w:hint="eastAsia"/>
        </w:rPr>
        <w:instrText xml:space="preserve"> HYPERLINK "https://mp.weixin.qq.com/s/3SksHwsDyi1DcNZGuISetQ" </w:instrText>
      </w:r>
      <w:r>
        <w:rPr>
          <w:rFonts w:hint="eastAsia"/>
        </w:rPr>
        <w:fldChar w:fldCharType="separate"/>
      </w:r>
      <w:r>
        <w:rPr>
          <w:rStyle w:val="5"/>
          <w:rFonts w:hint="eastAsia"/>
        </w:rPr>
        <w:t>https://mp.weixin.qq.com/s/3SksHwsDyi1DcNZGuISetQ</w:t>
      </w:r>
      <w:r>
        <w:rPr>
          <w:rFonts w:hint="eastAsia"/>
        </w:rPr>
        <w:fldChar w:fldCharType="end"/>
      </w:r>
    </w:p>
    <w:p>
      <w:pPr>
        <w:rPr>
          <w:rFonts w:hint="eastAsia" w:eastAsiaTheme="minorEastAsia"/>
          <w:lang w:eastAsia="zh-CN"/>
        </w:rPr>
      </w:pPr>
      <w:r>
        <w:rPr>
          <w:rFonts w:hint="eastAsia" w:eastAsiaTheme="minorEastAsia"/>
          <w:lang w:eastAsia="zh-CN"/>
        </w:rPr>
        <w:drawing>
          <wp:inline distT="0" distB="0" distL="114300" distR="114300">
            <wp:extent cx="5143500" cy="3429000"/>
            <wp:effectExtent l="0" t="0" r="0" b="0"/>
            <wp:docPr id="1" name="图片 1" descr="3fc09cb5183e53022eafb5d56a640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fc09cb5183e53022eafb5d56a6408da"/>
                    <pic:cNvPicPr>
                      <a:picLocks noChangeAspect="1"/>
                    </pic:cNvPicPr>
                  </pic:nvPicPr>
                  <pic:blipFill>
                    <a:blip r:embed="rId4"/>
                    <a:stretch>
                      <a:fillRect/>
                    </a:stretch>
                  </pic:blipFill>
                  <pic:spPr>
                    <a:xfrm>
                      <a:off x="0" y="0"/>
                      <a:ext cx="5143500" cy="3429000"/>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143500" cy="3429000"/>
            <wp:effectExtent l="0" t="0" r="0" b="0"/>
            <wp:docPr id="2" name="图片 2" descr="f66cb84cc1fee10ab817b01038810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66cb84cc1fee10ab817b01038810d3f"/>
                    <pic:cNvPicPr>
                      <a:picLocks noChangeAspect="1"/>
                    </pic:cNvPicPr>
                  </pic:nvPicPr>
                  <pic:blipFill>
                    <a:blip r:embed="rId5"/>
                    <a:stretch>
                      <a:fillRect/>
                    </a:stretch>
                  </pic:blipFill>
                  <pic:spPr>
                    <a:xfrm>
                      <a:off x="0" y="0"/>
                      <a:ext cx="5143500" cy="3429000"/>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143500" cy="2943225"/>
            <wp:effectExtent l="0" t="0" r="0" b="0"/>
            <wp:docPr id="3" name="图片 3" descr="867876b2347683c114f0125607795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67876b2347683c114f01256077958aa"/>
                    <pic:cNvPicPr>
                      <a:picLocks noChangeAspect="1"/>
                    </pic:cNvPicPr>
                  </pic:nvPicPr>
                  <pic:blipFill>
                    <a:blip r:embed="rId6"/>
                    <a:stretch>
                      <a:fillRect/>
                    </a:stretch>
                  </pic:blipFill>
                  <pic:spPr>
                    <a:xfrm>
                      <a:off x="0" y="0"/>
                      <a:ext cx="5143500" cy="2943225"/>
                    </a:xfrm>
                    <a:prstGeom prst="rect">
                      <a:avLst/>
                    </a:prstGeom>
                  </pic:spPr>
                </pic:pic>
              </a:graphicData>
            </a:graphic>
          </wp:inline>
        </w:drawing>
      </w:r>
    </w:p>
    <w:p>
      <w:pPr>
        <w:rPr>
          <w:rFonts w:hint="eastAsia" w:asciiTheme="minorEastAsia" w:hAnsiTheme="minorEastAsia" w:eastAsiaTheme="minorEastAsia" w:cstheme="minorEastAsia"/>
          <w:i w:val="0"/>
          <w:iCs w:val="0"/>
          <w:caps w:val="0"/>
          <w:color w:val="3E3E3E"/>
          <w:spacing w:val="4"/>
          <w:kern w:val="2"/>
          <w:sz w:val="24"/>
          <w:szCs w:val="24"/>
          <w:lang w:val="en-US" w:eastAsia="zh-CN" w:bidi="ar-SA"/>
        </w:rPr>
      </w:pPr>
      <w:r>
        <w:rPr>
          <w:rFonts w:hint="eastAsia" w:asciiTheme="minorEastAsia" w:hAnsiTheme="minorEastAsia" w:eastAsiaTheme="minorEastAsia" w:cstheme="minorEastAsia"/>
          <w:i w:val="0"/>
          <w:iCs w:val="0"/>
          <w:caps w:val="0"/>
          <w:color w:val="3E3E3E"/>
          <w:spacing w:val="4"/>
          <w:kern w:val="2"/>
          <w:sz w:val="24"/>
          <w:szCs w:val="24"/>
          <w:lang w:val="en-US" w:eastAsia="zh-CN" w:bidi="ar-SA"/>
        </w:rPr>
        <w:t>法学社至今已成功举办了十</w:t>
      </w:r>
      <w:r>
        <w:rPr>
          <w:rFonts w:hint="eastAsia" w:asciiTheme="minorEastAsia" w:hAnsiTheme="minorEastAsia" w:cstheme="minorEastAsia"/>
          <w:i w:val="0"/>
          <w:iCs w:val="0"/>
          <w:caps w:val="0"/>
          <w:color w:val="3E3E3E"/>
          <w:spacing w:val="4"/>
          <w:kern w:val="2"/>
          <w:sz w:val="24"/>
          <w:szCs w:val="24"/>
          <w:lang w:val="en-US" w:eastAsia="zh-CN" w:bidi="ar-SA"/>
        </w:rPr>
        <w:t>三</w:t>
      </w:r>
      <w:r>
        <w:rPr>
          <w:rFonts w:hint="eastAsia" w:asciiTheme="minorEastAsia" w:hAnsiTheme="minorEastAsia" w:eastAsiaTheme="minorEastAsia" w:cstheme="minorEastAsia"/>
          <w:i w:val="0"/>
          <w:iCs w:val="0"/>
          <w:caps w:val="0"/>
          <w:color w:val="3E3E3E"/>
          <w:spacing w:val="4"/>
          <w:kern w:val="2"/>
          <w:sz w:val="24"/>
          <w:szCs w:val="24"/>
          <w:lang w:val="en-US" w:eastAsia="zh-CN" w:bidi="ar-SA"/>
        </w:rPr>
        <w:t>届 “信实杯”模拟法庭辩论赛。每一年，法学社都会邀请全国高校的优秀学子齐聚鹭岛，为同学们献上一场模拟法庭辩论的盛宴。</w:t>
      </w:r>
      <w:r>
        <w:rPr>
          <w:rFonts w:hint="eastAsia" w:asciiTheme="minorEastAsia" w:hAnsiTheme="minorEastAsia" w:eastAsiaTheme="minorEastAsia" w:cstheme="minorEastAsia"/>
          <w:i w:val="0"/>
          <w:iCs w:val="0"/>
          <w:caps w:val="0"/>
          <w:color w:val="3E3E3E"/>
          <w:spacing w:val="4"/>
          <w:sz w:val="24"/>
          <w:szCs w:val="24"/>
        </w:rPr>
        <w:t>大赛由厦门大学教务处、共青团厦门大学委员会、厦门大学法学院主办，福建信实律师事务所联合主办，厦门大学法学社承办。本次比赛吸引了来自北京师范大学、重庆大学、对外经济贸易大学、福州大学、海南大学、华东政法大学、华南理工大学、吉林大学、清华大学、厦门大学、山东大学、上海财经大学、上海交通大学、四川大学、同济大学、武汉大学、西南政法大学、浙江大学、中国海洋大学、中南财经政法大学等全国20所高等院校参与。</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i w:val="0"/>
          <w:iCs w:val="0"/>
          <w:caps w:val="0"/>
          <w:color w:val="3E3E3E"/>
          <w:spacing w:val="4"/>
          <w:kern w:val="2"/>
          <w:sz w:val="24"/>
          <w:szCs w:val="24"/>
          <w:lang w:val="en-US" w:eastAsia="zh-CN" w:bidi="ar-SA"/>
        </w:rPr>
      </w:pPr>
      <w:r>
        <w:rPr>
          <w:rFonts w:hint="eastAsia" w:asciiTheme="minorEastAsia" w:hAnsiTheme="minorEastAsia" w:eastAsiaTheme="minorEastAsia" w:cstheme="minorEastAsia"/>
          <w:i w:val="0"/>
          <w:iCs w:val="0"/>
          <w:caps w:val="0"/>
          <w:color w:val="3E3E3E"/>
          <w:spacing w:val="4"/>
          <w:kern w:val="2"/>
          <w:sz w:val="24"/>
          <w:szCs w:val="24"/>
          <w:lang w:val="en-US" w:eastAsia="zh-CN" w:bidi="ar-SA"/>
        </w:rPr>
        <w:t>墨子有云：“夫辩者，将以明是非之分，审治乱之纪，明同异之处，察名实之理，处利害，决嫌疑焉。”思想若囿于一方不免显得小家子气，倘若经过表达和碰撞，则必有大气完整之感。正所谓“水本无华，相荡乃兴潋滟；石孰有火，互击而闪灵光。”辩论，无疑是思想表达和交锋的绝佳方式。回看过去，“信实杯”全国大学生模拟法庭辩论赛往届赛事的成功举办促进了各大高校法学学生的交流，为发现、培养出色的法律人才提供了广阔的舞台；翘首未来，它必将作为厦大法学一张永不褪色的名片，被送向远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00000000"/>
    <w:rsid w:val="5763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2022-11-10T01:46:38Z</dcterms:created>
  <dc:creator>user</dc:creator>
  <cp:lastModifiedBy>user</cp:lastModifiedBy>
  <dcterms:modified xsi:type="dcterms:W3CDTF">2022-11-10T01:49:00Z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4F2978CF35CE4973A297D29EE22C10ED</vt:lpwstr>
  </property>
</Properties>
</file>