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firstLine="640"/>
      </w:pPr>
      <w:r>
        <w:t>附件1</w:t>
      </w:r>
    </w:p>
    <w:p>
      <w:pPr>
        <w:pStyle w:val="7"/>
        <w:spacing w:after="312"/>
      </w:pPr>
      <w:r>
        <w:rPr>
          <w:rFonts w:hint="eastAsia"/>
        </w:rPr>
        <w:t>厦门大学</w:t>
      </w:r>
      <w:r>
        <w:rPr>
          <w:rFonts w:hint="eastAsia"/>
          <w:lang w:eastAsia="zh-CN"/>
        </w:rPr>
        <w:t>2023</w:t>
      </w:r>
      <w:r>
        <w:rPr>
          <w:rFonts w:hint="eastAsia"/>
        </w:rPr>
        <w:t>汉语经典诗文诵读大赛</w:t>
      </w:r>
      <w:r>
        <w:br w:type="textWrapping"/>
      </w:r>
      <w:r>
        <w:rPr>
          <w:rFonts w:hint="eastAsia"/>
        </w:rPr>
        <w:t>比赛方案</w:t>
      </w:r>
    </w:p>
    <w:p>
      <w:pPr>
        <w:pStyle w:val="2"/>
        <w:numPr>
          <w:ilvl w:val="0"/>
          <w:numId w:val="2"/>
        </w:numPr>
        <w:ind w:firstLine="640"/>
      </w:pPr>
      <w:r>
        <w:t>活动目的</w:t>
      </w:r>
    </w:p>
    <w:p>
      <w:pPr>
        <w:ind w:firstLine="640"/>
      </w:pPr>
      <w:r>
        <w:rPr>
          <w:rFonts w:hint="eastAsia" w:ascii="仿宋" w:hAnsi="仿宋" w:eastAsia="仿宋" w:cs="仿宋"/>
          <w:color w:val="000000"/>
          <w:kern w:val="0"/>
          <w:szCs w:val="32"/>
        </w:rPr>
        <w:t>诵读古今经典，弘扬中国精神。</w:t>
      </w:r>
      <w:r>
        <w:rPr>
          <w:rFonts w:hint="eastAsia" w:ascii="仿宋" w:hAnsi="仿宋" w:eastAsia="仿宋" w:cs="仿宋"/>
          <w:color w:val="000000"/>
          <w:szCs w:val="32"/>
        </w:rPr>
        <w:t>为传承弘扬中华优秀传统文化，</w:t>
      </w:r>
      <w:r>
        <w:rPr>
          <w:rFonts w:hint="eastAsia" w:ascii="仿宋" w:hAnsi="仿宋" w:eastAsia="仿宋" w:cs="仿宋"/>
          <w:color w:val="000000"/>
          <w:kern w:val="0"/>
          <w:szCs w:val="32"/>
        </w:rPr>
        <w:t>引领在校大学生亲近中华经典，增强爱党爱国情怀</w:t>
      </w:r>
      <w:r>
        <w:rPr>
          <w:rFonts w:hint="eastAsia" w:ascii="仿宋" w:hAnsi="仿宋" w:eastAsia="仿宋" w:cs="仿宋"/>
        </w:rPr>
        <w:t>，特举办经典诵读大赛，并确定方案如下。</w:t>
      </w:r>
    </w:p>
    <w:p>
      <w:pPr>
        <w:pStyle w:val="2"/>
        <w:numPr>
          <w:ilvl w:val="0"/>
          <w:numId w:val="1"/>
        </w:numPr>
        <w:ind w:firstLine="640" w:firstLineChars="0"/>
      </w:pPr>
      <w:r>
        <w:rPr>
          <w:rFonts w:hint="eastAsia"/>
        </w:rPr>
        <w:t>参赛</w:t>
      </w:r>
      <w:r>
        <w:t>对象</w:t>
      </w:r>
    </w:p>
    <w:p>
      <w:pPr>
        <w:ind w:firstLine="640"/>
      </w:pPr>
      <w:r>
        <w:t>厦门大学在校学生。</w:t>
      </w:r>
    </w:p>
    <w:p>
      <w:pPr>
        <w:pStyle w:val="2"/>
        <w:numPr>
          <w:ilvl w:val="0"/>
          <w:numId w:val="1"/>
        </w:numPr>
        <w:ind w:firstLine="640" w:firstLineChars="0"/>
      </w:pPr>
      <w:r>
        <w:rPr>
          <w:rFonts w:hint="eastAsia"/>
        </w:rPr>
        <w:t>赛事</w:t>
      </w:r>
      <w:r>
        <w:t>安排</w:t>
      </w:r>
    </w:p>
    <w:p>
      <w:pPr>
        <w:pStyle w:val="3"/>
        <w:numPr>
          <w:ilvl w:val="1"/>
          <w:numId w:val="1"/>
        </w:numPr>
        <w:ind w:firstLine="643"/>
      </w:pPr>
      <w:r>
        <w:t>报名</w:t>
      </w:r>
      <w:r>
        <w:rPr>
          <w:rFonts w:hint="eastAsia"/>
        </w:rPr>
        <w:t>及</w:t>
      </w:r>
      <w:r>
        <w:t>初审</w:t>
      </w:r>
    </w:p>
    <w:p>
      <w:pPr>
        <w:ind w:firstLine="640"/>
      </w:pPr>
      <w:r>
        <w:rPr>
          <w:rFonts w:hint="eastAsia"/>
        </w:rPr>
        <w:t>1.报名截止时间：</w:t>
      </w:r>
      <w:r>
        <w:rPr>
          <w:rFonts w:hint="eastAsia"/>
          <w:lang w:eastAsia="zh-CN"/>
        </w:rPr>
        <w:t>2023</w:t>
      </w:r>
      <w:r>
        <w:rPr>
          <w:rFonts w:hint="eastAsia"/>
        </w:rPr>
        <w:t>年11月</w:t>
      </w:r>
      <w:r>
        <w:rPr>
          <w:rFonts w:hint="eastAsia"/>
          <w:lang w:val="en-US" w:eastAsia="zh-CN"/>
        </w:rPr>
        <w:t>3</w:t>
      </w:r>
      <w:r>
        <w:rPr>
          <w:rFonts w:hint="eastAsia"/>
        </w:rPr>
        <w:t>日。</w:t>
      </w:r>
    </w:p>
    <w:p>
      <w:pPr>
        <w:ind w:firstLine="640"/>
      </w:pPr>
      <w:r>
        <w:rPr>
          <w:rFonts w:hint="eastAsia"/>
        </w:rPr>
        <w:t>2.报名及初审流程：参赛者自行准备一段</w:t>
      </w:r>
      <w:r>
        <w:rPr>
          <w:rFonts w:hint="eastAsia"/>
          <w:lang w:eastAsia="zh-CN"/>
        </w:rPr>
        <w:t>2023</w:t>
      </w:r>
      <w:r>
        <w:rPr>
          <w:rFonts w:hint="eastAsia"/>
        </w:rPr>
        <w:t>年新录制</w:t>
      </w:r>
      <w:r>
        <w:t>的</w:t>
      </w:r>
      <w:r>
        <w:rPr>
          <w:rFonts w:hint="eastAsia"/>
        </w:rPr>
        <w:t>时长2分钟以内的音频文件，自选篇目诵读(可以是片段)，音频开头须说明诗词作品名称和作者、参赛者姓名。</w:t>
      </w:r>
    </w:p>
    <w:p>
      <w:pPr>
        <w:ind w:firstLine="640"/>
      </w:pPr>
      <w:r>
        <w:rPr>
          <w:rFonts w:hint="eastAsia"/>
        </w:rPr>
        <w:t>音频文件</w:t>
      </w:r>
      <w:r>
        <w:rPr>
          <w:rFonts w:hint="eastAsia"/>
          <w:lang w:val="en-US" w:eastAsia="zh-CN"/>
        </w:rPr>
        <w:t>和报名表</w:t>
      </w:r>
      <w:r>
        <w:rPr>
          <w:rFonts w:hint="eastAsia"/>
          <w:lang w:eastAsia="zh-CN"/>
        </w:rPr>
        <w:t>命名格式为</w:t>
      </w:r>
      <w:r>
        <w:rPr>
          <w:rFonts w:hint="eastAsia"/>
        </w:rPr>
        <w:t>“诵读大赛+姓名+院系班级+篇目标题”</w:t>
      </w:r>
      <w:r>
        <w:rPr>
          <w:rFonts w:hint="eastAsia"/>
          <w:lang w:eastAsia="zh-CN"/>
        </w:rPr>
        <w:t>（统一使用+号间隔）</w:t>
      </w:r>
      <w:r>
        <w:rPr>
          <w:rFonts w:hint="eastAsia"/>
        </w:rPr>
        <w:t>，将音频文件和报名表</w:t>
      </w:r>
      <w:r>
        <w:rPr>
          <w:rFonts w:hint="eastAsia"/>
          <w:lang w:eastAsia="zh-CN"/>
        </w:rPr>
        <w:t>（</w:t>
      </w:r>
      <w:r>
        <w:rPr>
          <w:rFonts w:hint="eastAsia"/>
          <w:lang w:val="en-US" w:eastAsia="zh-CN"/>
        </w:rPr>
        <w:t>删除附件正文仅保留报名表</w:t>
      </w:r>
      <w:r>
        <w:rPr>
          <w:rFonts w:hint="eastAsia"/>
          <w:lang w:eastAsia="zh-CN"/>
        </w:rPr>
        <w:t>）</w:t>
      </w:r>
      <w:r>
        <w:rPr>
          <w:rFonts w:hint="eastAsia"/>
        </w:rPr>
        <w:t>一并发送至</w:t>
      </w:r>
      <w:r>
        <w:t>组委会邮箱：hyyds@xmu.edu.cn</w:t>
      </w:r>
      <w:r>
        <w:rPr>
          <w:rFonts w:hint="eastAsia"/>
        </w:rPr>
        <w:t>，邮件名为“</w:t>
      </w:r>
      <w:r>
        <w:t>汉语经典诗</w:t>
      </w:r>
      <w:r>
        <w:rPr>
          <w:rFonts w:hint="eastAsia"/>
        </w:rPr>
        <w:t>文</w:t>
      </w:r>
      <w:r>
        <w:t>诵读大赛</w:t>
      </w:r>
      <w:r>
        <w:rPr>
          <w:rFonts w:hint="eastAsia"/>
        </w:rPr>
        <w:t>报名</w:t>
      </w:r>
      <w:r>
        <w:t>+姓</w:t>
      </w:r>
      <w:r>
        <w:rPr>
          <w:rFonts w:hint="eastAsia"/>
        </w:rPr>
        <w:t>名”</w:t>
      </w:r>
      <w:r>
        <w:t>。</w:t>
      </w:r>
      <w:r>
        <w:rPr>
          <w:rFonts w:hint="eastAsia"/>
          <w:lang w:val="en-US" w:eastAsia="zh-CN"/>
        </w:rPr>
        <w:t>邮件报名收到自动回复即为提交成功，若提交多次报名邮件的，以报名截止日前收到的最新一封报名邮件为准。</w:t>
      </w:r>
    </w:p>
    <w:p>
      <w:pPr>
        <w:ind w:firstLine="640"/>
      </w:pPr>
      <w:r>
        <w:rPr>
          <w:rFonts w:hint="eastAsia"/>
        </w:rPr>
        <w:t>3.请参赛选手报名后加入</w:t>
      </w:r>
      <w:r>
        <w:t>QQ</w:t>
      </w:r>
      <w:r>
        <w:rPr>
          <w:rFonts w:hint="eastAsia"/>
        </w:rPr>
        <w:t>群接收后续通知，</w:t>
      </w:r>
      <w:r>
        <w:rPr>
          <w:rFonts w:hint="eastAsia"/>
          <w:lang w:eastAsia="zh-CN"/>
        </w:rPr>
        <w:t>群号：541483293</w:t>
      </w:r>
      <w:r>
        <w:rPr>
          <w:rFonts w:hint="eastAsia"/>
        </w:rPr>
        <w:t>。</w:t>
      </w:r>
    </w:p>
    <w:p>
      <w:pPr>
        <w:pStyle w:val="3"/>
        <w:numPr>
          <w:ilvl w:val="1"/>
          <w:numId w:val="1"/>
        </w:numPr>
        <w:ind w:firstLine="643"/>
      </w:pPr>
      <w:r>
        <w:t>复赛</w:t>
      </w:r>
    </w:p>
    <w:p>
      <w:pPr>
        <w:ind w:firstLine="640"/>
      </w:pPr>
      <w:r>
        <w:rPr>
          <w:rFonts w:hint="eastAsia"/>
        </w:rPr>
        <w:t>1.时间：</w:t>
      </w:r>
      <w:r>
        <w:rPr>
          <w:rFonts w:hint="eastAsia"/>
          <w:lang w:eastAsia="zh-CN"/>
        </w:rPr>
        <w:t>2023</w:t>
      </w:r>
      <w:r>
        <w:rPr>
          <w:rFonts w:hint="eastAsia"/>
        </w:rPr>
        <w:t>年11月1</w:t>
      </w:r>
      <w:r>
        <w:rPr>
          <w:rFonts w:hint="eastAsia"/>
          <w:lang w:val="en-US" w:eastAsia="zh-CN"/>
        </w:rPr>
        <w:t>2</w:t>
      </w:r>
      <w:r>
        <w:rPr>
          <w:rFonts w:hint="eastAsia"/>
        </w:rPr>
        <w:t>日（周</w:t>
      </w:r>
      <w:r>
        <w:rPr>
          <w:rFonts w:hint="eastAsia"/>
          <w:lang w:eastAsia="zh-CN"/>
        </w:rPr>
        <w:t>日</w:t>
      </w:r>
      <w:r>
        <w:rPr>
          <w:rFonts w:hint="eastAsia"/>
        </w:rPr>
        <w:t>）。</w:t>
      </w:r>
    </w:p>
    <w:p>
      <w:pPr>
        <w:ind w:firstLine="640"/>
      </w:pPr>
      <w:r>
        <w:rPr>
          <w:rFonts w:hint="eastAsia"/>
        </w:rPr>
        <w:t>2.地点：待定。</w:t>
      </w:r>
    </w:p>
    <w:p>
      <w:pPr>
        <w:ind w:firstLine="640"/>
      </w:pPr>
      <w:r>
        <w:rPr>
          <w:rFonts w:hint="eastAsia"/>
        </w:rPr>
        <w:t>3.比赛环节：</w:t>
      </w:r>
    </w:p>
    <w:p>
      <w:pPr>
        <w:ind w:firstLine="640"/>
      </w:pPr>
      <w:r>
        <w:rPr>
          <w:rFonts w:hint="eastAsia"/>
        </w:rPr>
        <w:t>自我介绍、经</w:t>
      </w:r>
      <w:r>
        <w:t>典诵读，时长3分钟，可以配乐。</w:t>
      </w:r>
    </w:p>
    <w:p>
      <w:pPr>
        <w:pStyle w:val="3"/>
        <w:numPr>
          <w:ilvl w:val="1"/>
          <w:numId w:val="1"/>
        </w:numPr>
        <w:ind w:firstLine="643"/>
      </w:pPr>
      <w:r>
        <w:t>培训（时间待定）</w:t>
      </w:r>
    </w:p>
    <w:p>
      <w:pPr>
        <w:ind w:firstLine="640"/>
      </w:pPr>
      <w:r>
        <w:t>将邀请播音主持人、朗诵艺术家和资深专家为参赛选手进行专业指导和培训，具体时间地点另行通知。</w:t>
      </w:r>
    </w:p>
    <w:p>
      <w:pPr>
        <w:pStyle w:val="3"/>
        <w:numPr>
          <w:ilvl w:val="1"/>
          <w:numId w:val="1"/>
        </w:numPr>
        <w:ind w:firstLine="643"/>
      </w:pPr>
      <w:r>
        <w:t>决赛</w:t>
      </w:r>
      <w:r>
        <w:rPr>
          <w:rFonts w:hint="eastAsia"/>
        </w:rPr>
        <w:t>及</w:t>
      </w:r>
      <w:r>
        <w:t>颁奖</w:t>
      </w:r>
    </w:p>
    <w:p>
      <w:pPr>
        <w:ind w:firstLine="640"/>
      </w:pPr>
      <w:r>
        <w:rPr>
          <w:rFonts w:hint="eastAsia"/>
        </w:rPr>
        <w:t>1.时间：</w:t>
      </w:r>
      <w:r>
        <w:rPr>
          <w:rFonts w:hint="eastAsia"/>
          <w:lang w:eastAsia="zh-CN"/>
        </w:rPr>
        <w:t>2023</w:t>
      </w:r>
      <w:r>
        <w:rPr>
          <w:rFonts w:hint="eastAsia"/>
        </w:rPr>
        <w:t>年11月2</w:t>
      </w:r>
      <w:r>
        <w:rPr>
          <w:rFonts w:hint="eastAsia"/>
          <w:lang w:val="en-US" w:eastAsia="zh-CN"/>
        </w:rPr>
        <w:t>5</w:t>
      </w:r>
      <w:r>
        <w:rPr>
          <w:rFonts w:hint="eastAsia"/>
        </w:rPr>
        <w:t>日，思明校区（暂定）</w:t>
      </w:r>
    </w:p>
    <w:p>
      <w:pPr>
        <w:ind w:firstLine="640"/>
      </w:pPr>
      <w:r>
        <w:rPr>
          <w:rFonts w:hint="eastAsia"/>
        </w:rPr>
        <w:t>2.</w:t>
      </w:r>
      <w:r>
        <w:rPr>
          <w:rFonts w:hint="eastAsia"/>
          <w:lang w:eastAsia="zh-CN"/>
        </w:rPr>
        <w:t>决赛</w:t>
      </w:r>
      <w:r>
        <w:rPr>
          <w:rFonts w:hint="eastAsia"/>
        </w:rPr>
        <w:t>比赛方</w:t>
      </w:r>
      <w:r>
        <w:t>案另行通知</w:t>
      </w:r>
    </w:p>
    <w:p>
      <w:pPr>
        <w:ind w:firstLine="640"/>
      </w:pPr>
      <w:r>
        <w:rPr>
          <w:rFonts w:hint="eastAsia"/>
        </w:rPr>
        <w:t>3.颁奖时间：</w:t>
      </w:r>
      <w:r>
        <w:rPr>
          <w:rFonts w:hint="eastAsia"/>
          <w:lang w:eastAsia="zh-CN"/>
        </w:rPr>
        <w:t>2023</w:t>
      </w:r>
      <w:r>
        <w:rPr>
          <w:rFonts w:hint="eastAsia"/>
        </w:rPr>
        <w:t>年11月</w:t>
      </w:r>
      <w:r>
        <w:rPr>
          <w:rFonts w:hint="eastAsia"/>
          <w:lang w:val="en-US" w:eastAsia="zh-CN"/>
        </w:rPr>
        <w:t>25</w:t>
      </w:r>
      <w:r>
        <w:rPr>
          <w:rFonts w:hint="eastAsia"/>
        </w:rPr>
        <w:t>日，思明校区</w:t>
      </w:r>
      <w:r>
        <w:t>（</w:t>
      </w:r>
      <w:r>
        <w:rPr>
          <w:rFonts w:hint="eastAsia"/>
        </w:rPr>
        <w:t>暂定</w:t>
      </w:r>
      <w:r>
        <w:t>）</w:t>
      </w:r>
    </w:p>
    <w:p>
      <w:pPr>
        <w:pStyle w:val="2"/>
        <w:numPr>
          <w:ilvl w:val="0"/>
          <w:numId w:val="1"/>
        </w:numPr>
        <w:ind w:firstLine="640" w:firstLineChars="0"/>
      </w:pPr>
      <w:r>
        <w:t>比赛要求</w:t>
      </w:r>
    </w:p>
    <w:p>
      <w:pPr>
        <w:ind w:firstLine="640"/>
      </w:pPr>
      <w:r>
        <w:t>主题鲜明，突出传统经典和现代经典，口齿清晰，普通话标准，表达流畅、生动，感情饱满感染力强，能准确表现作品的内涵，具有一定艺术性和欣赏性。</w:t>
      </w:r>
    </w:p>
    <w:p>
      <w:pPr>
        <w:pStyle w:val="2"/>
        <w:numPr>
          <w:ilvl w:val="0"/>
          <w:numId w:val="1"/>
        </w:numPr>
        <w:ind w:firstLine="640" w:firstLineChars="0"/>
      </w:pPr>
      <w:r>
        <w:rPr>
          <w:rFonts w:hint="eastAsia"/>
        </w:rPr>
        <w:t>篇目要求</w:t>
      </w:r>
    </w:p>
    <w:p>
      <w:pPr>
        <w:ind w:firstLine="640"/>
      </w:pPr>
      <w:r>
        <w:rPr>
          <w:rFonts w:hint="eastAsia"/>
        </w:rPr>
        <w:t>1.体现中华优秀传统文化、革命文化和社会主义先进文化，或彰显中华语言文化魅力，展现当地深厚历史文化特点的中华经典诗文。</w:t>
      </w:r>
    </w:p>
    <w:p>
      <w:pPr>
        <w:ind w:firstLine="640"/>
      </w:pPr>
      <w:r>
        <w:rPr>
          <w:rFonts w:hint="eastAsia"/>
        </w:rPr>
        <w:t>2.反映人民群众对美好生活的向往，抒发家国情怀，弘扬正能量，以及歌颂为全面建成小康社会而奋斗的英雄楷模等优秀作品。</w:t>
      </w:r>
    </w:p>
    <w:p>
      <w:pPr>
        <w:ind w:firstLine="640"/>
      </w:pPr>
      <w:r>
        <w:rPr>
          <w:rFonts w:hint="eastAsia"/>
        </w:rPr>
        <w:t>3.古代、近现代和当代有社会影响力的优秀文学作品以及教育部统编版中小学语文教材课文等，体裁不限。</w:t>
      </w:r>
    </w:p>
    <w:p>
      <w:pPr>
        <w:ind w:firstLine="640"/>
      </w:pPr>
      <w:r>
        <w:rPr>
          <w:rFonts w:hint="eastAsia"/>
        </w:rPr>
        <w:t>4.鼓励诵读歌颂建党百年光辉历程、展现举世瞩目伟大成就的经典作品。</w:t>
      </w:r>
    </w:p>
    <w:p>
      <w:pPr>
        <w:pStyle w:val="2"/>
        <w:numPr>
          <w:ilvl w:val="0"/>
          <w:numId w:val="1"/>
        </w:numPr>
        <w:ind w:firstLine="640" w:firstLineChars="0"/>
        <w:sectPr>
          <w:pgSz w:w="11906" w:h="16838"/>
          <w:pgMar w:top="1440" w:right="1800" w:bottom="1440" w:left="1800" w:header="851" w:footer="992" w:gutter="0"/>
          <w:cols w:space="720" w:num="1"/>
          <w:docGrid w:type="lines" w:linePitch="312" w:charSpace="0"/>
        </w:sectPr>
      </w:pPr>
      <w:r>
        <w:t>参考篇目（</w:t>
      </w:r>
      <w:r>
        <w:rPr>
          <w:rFonts w:hint="eastAsia"/>
        </w:rPr>
        <w:t>不限于此）</w:t>
      </w:r>
    </w:p>
    <w:p>
      <w:pPr>
        <w:pStyle w:val="2"/>
        <w:numPr>
          <w:ilvl w:val="0"/>
          <w:numId w:val="0"/>
        </w:numPr>
        <w:rPr>
          <w:rFonts w:hint="eastAsia" w:ascii="仿宋" w:hAnsi="仿宋" w:eastAsia="仿宋" w:cs="仿宋"/>
        </w:rPr>
        <w:sectPr>
          <w:type w:val="continuous"/>
          <w:pgSz w:w="11906" w:h="16838"/>
          <w:pgMar w:top="1440" w:right="1800" w:bottom="1440" w:left="1800" w:header="851" w:footer="992" w:gutter="0"/>
          <w:cols w:space="720" w:num="1"/>
          <w:docGrid w:type="lines" w:linePitch="312" w:charSpace="0"/>
        </w:sectPr>
      </w:pP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《诗经·关雎》</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《诗经·蒹葭》</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《诗经·黍离》</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《诗经·东山》</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《论语·学而篇》</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《论语·先进篇·子路曾皙冉有公西华侍坐》</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《老子·天下皆知美之为美》</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《老子·天之道》</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《老子·小国寡民》</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《礼记·大同》</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《荀子·劝学篇》</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《孟子·鱼我所欲也》</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《孟子·得道多助失道寡助》</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《孟子·生于忧患死于安乐》</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《庄子·逍遥游》</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《庄子·养生·庖丁解牛》</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屈原《离骚》</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屈原《九歌·山鬼》</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屈原《九歌·湘夫人》</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汉乐府《孔雀东南飞》</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曹植《洛神赋》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陶渊明《归去来兮辞》</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陶渊明《五柳先生传》</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丘迟《与陈伯之书》</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江淹《别赋》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南朝民歌《西洲曲》</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王勃《滕王阁》（滕王高阁临江渚）</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王勃《滕王阁序》</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卢照邻《长安古意》</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陈子昂《登幽州台歌》</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张若虚《春江花月夜》</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崔颢《黄鹤楼》</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李白《将进酒》</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李白《宣州谢脁楼饯别校书叔云》</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李白《登金陵凤凰台》</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杜甫《茅屋为秋风所破歌》</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杜甫《秋兴八首》</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杜甫《哀江头》</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杜甫《赠卫八处士》</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白居易《长恨歌》</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白居易《琵琶行》</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柳宗元《始得西山宴游记》</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韩愈《师说》</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韩愈《山石》</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刘禹锡《陋室铭》</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元稹《连昌宫词》</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杜牧《润州》（向吴亭东千里秋）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李商隐《无题》（锦瑟无端五十弦）</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李商隐《无题》（相见时难别亦难）</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李煜《虞美人》（春花秋月何时了）</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范仲淹《岳阳楼记》</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欧阳修《五代史伶官传序》</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欧阳修《秋声赋》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欧阳修《采桑子》（平生为爱西湖好）</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晏殊《浣溪沙》（一曲新词酒一杯）</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柳永《蝶恋花》（伫倚危楼风细细）</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王安石《桂枝香》（登临送目）</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王安石《示长安君》</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苏轼《江城子》（十年生死两茫茫）</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苏轼《水调歌头》（明月几时有）</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苏轼《和子由渑池怀旧》</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苏轼《前赤壁赋》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苏轼《寓居定惠院之东杂花满山有海棠一株土人不知贵也》</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苏轼《蝶恋花》（花褪残红青杏小）</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黄庭坚《寄黄几复》</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李清照《醉花阴》（薄雾浓云愁永昼）</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陆游《临安春雨初霁》</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张孝祥《念奴娇》（洞庭青草）</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辛弃疾《贺新郎》（甚矣吾衰矣）</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辛弃疾《永遇乐》（千古江山）</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辛弃疾《摸鱼儿》（更能消几番风雨）</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周邦彦《满庭芳》（风老莺雏）</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蒋捷《虞美人》（少年听雨歌楼上）</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贺铸《青玉案》（凌波不过横塘路）</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秦观《踏莎行》（雾失楼台）</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吴文英《风入松》（听风听雨过清明）</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姜夔《扬州慢》（淮左名都）</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文天祥《过零丁洋》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岳飞《满江红》（怒发冲冠）</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元好问《摸鱼儿》（问世间情为何物）</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归有光《项脊轩志》</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朱彝尊《桂殿秋》（思往事）</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曹雪芹《红楼梦·葬花吟》（花谢花飞花满天）</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王士祯《秋柳》（秋来何处最销魂）</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黄景仁《绮怀》（几回花下坐吹箫）</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纳兰容若《木兰花令·拟古决绝词》（人生若只如初见）</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梁启超《少年中国说》</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毛泽东《沁园春·雪》</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毛泽东《沁园春·长沙》</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毛泽东《采桑子.重阳》</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毛泽东《七律.长征》</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毛泽东《水调歌头.游泳》</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毛泽东《卜算子.咏梅》</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毛泽东《水调歌头.重上井冈山》</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闻一多《一句话》</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郭沫若《凤凰涅槃》</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戴望舒《我用残损的手掌》</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戴望舒《我的记忆》</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戴望舒《雨巷》</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汪静之《蕙的风》</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何其芳《预言》</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李广田《笑的种子》</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殷夫《别了，哥哥》</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穆旦《赞美》</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穆旦《冥想》</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安娥《渔光曲》</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关露《故乡，我不能让你沦亡》</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陈学昭《我送你》</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郑敏《金黄的稻束》</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艾青《我爱这片土地》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艾青《北方》</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宗白华《夜》</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宗白华《诗》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朱湘《采莲曲》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冯至《我是一条小河》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余光中《乡愁》</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余光中《等你，在雨中》</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余光中《碧潭》</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席慕容《无怨的青春》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席慕容《一棵开花的树》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席慕容《长城谣》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舒婷《神女峰》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舒婷《远方》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舒婷《惠安女子》</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舒婷《致橡树》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舒婷《祖国啊，我亲爱的祖国》</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海子《亚洲铜》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海子《九月》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海子《五月的麦地》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海子《面朝大海，春暖花开》</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食指《相信未来》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骆一禾《麦地——致乡土中国》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西川《秋天十四行》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 xml:space="preserve">杨炼《大海停止之处》   </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昌耀《划呀，划呀，父亲们！》</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汪国真《我微笑着走向生活》</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史铁生《秋天的怀念》</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任卫新《我有祖国，我有母语》</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王怀仁《人民万岁》</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欧震《不朽》</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徐敬亚《长征，长征》</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胡景晖《我爱你，中国》</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赵凌云《我的南方和北方》</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李瑛《我的中国》</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费守疆《中国力量》</w:t>
      </w:r>
    </w:p>
    <w:p>
      <w:pPr>
        <w:pStyle w:val="9"/>
        <w:numPr>
          <w:ilvl w:val="0"/>
          <w:numId w:val="3"/>
        </w:numPr>
        <w:spacing w:line="520" w:lineRule="exact"/>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t>简锋《百年答卷》（庆祝中国共产党成立一百周年）</w:t>
      </w:r>
    </w:p>
    <w:p>
      <w:pPr>
        <w:pStyle w:val="9"/>
        <w:spacing w:line="540" w:lineRule="exact"/>
        <w:ind w:left="420" w:firstLine="0" w:firstLineChars="0"/>
        <w:jc w:val="both"/>
        <w:rPr>
          <w:rFonts w:hint="eastAsia" w:ascii="仿宋" w:hAnsi="仿宋" w:eastAsia="仿宋" w:cs="仿宋"/>
          <w:sz w:val="32"/>
          <w:szCs w:val="32"/>
        </w:rPr>
        <w:sectPr>
          <w:type w:val="continuous"/>
          <w:pgSz w:w="11906" w:h="16838"/>
          <w:pgMar w:top="1440" w:right="1800" w:bottom="1440" w:left="1800" w:header="851" w:footer="992" w:gutter="0"/>
          <w:cols w:space="720" w:num="2"/>
          <w:docGrid w:type="lines" w:linePitch="312" w:charSpace="0"/>
        </w:sectPr>
      </w:pPr>
    </w:p>
    <w:p>
      <w:pPr>
        <w:ind w:firstLine="0" w:firstLineChars="0"/>
        <w:rPr>
          <w:rFonts w:hint="eastAsia" w:ascii="仿宋" w:hAnsi="仿宋" w:eastAsia="仿宋" w:cs="仿宋"/>
          <w:szCs w:val="32"/>
        </w:rPr>
        <w:sectPr>
          <w:type w:val="continuous"/>
          <w:pgSz w:w="11906" w:h="16838"/>
          <w:pgMar w:top="1440" w:right="1800" w:bottom="1440" w:left="1800" w:header="851" w:footer="992" w:gutter="0"/>
          <w:cols w:space="720" w:num="1"/>
          <w:docGrid w:type="lines" w:linePitch="312" w:charSpace="0"/>
        </w:sectPr>
      </w:pPr>
    </w:p>
    <w:p>
      <w:pPr>
        <w:spacing w:line="540" w:lineRule="exact"/>
        <w:ind w:firstLine="0" w:firstLineChars="0"/>
        <w:rPr>
          <w:rFonts w:eastAsia="仿宋_GB2312"/>
          <w:szCs w:val="32"/>
          <w:u w:val="dotted"/>
        </w:rPr>
      </w:pPr>
      <w:r>
        <w:rPr>
          <w:rFonts w:eastAsia="仿宋_GB2312"/>
          <w:szCs w:val="32"/>
          <w:u w:val="dotted"/>
        </w:rPr>
        <w:t xml:space="preserve">                                                                     </w:t>
      </w:r>
    </w:p>
    <w:p>
      <w:pPr>
        <w:spacing w:line="540" w:lineRule="exact"/>
        <w:ind w:firstLine="640"/>
        <w:jc w:val="center"/>
        <w:rPr>
          <w:rFonts w:eastAsia="仿宋_GB2312"/>
          <w:bCs/>
          <w:szCs w:val="32"/>
        </w:rPr>
      </w:pPr>
    </w:p>
    <w:p>
      <w:pPr>
        <w:ind w:firstLine="640"/>
      </w:pPr>
      <w:r>
        <w:rPr>
          <w:rFonts w:hint="eastAsia"/>
          <w:lang w:eastAsia="zh-CN"/>
        </w:rPr>
        <w:t>2023</w:t>
      </w:r>
      <w:r>
        <w:t>汉语经典诗</w:t>
      </w:r>
      <w:r>
        <w:rPr>
          <w:rFonts w:hint="eastAsia"/>
        </w:rPr>
        <w:t>文</w:t>
      </w:r>
      <w:r>
        <w:t>诵读大赛选手登记表（报名表）</w:t>
      </w:r>
    </w:p>
    <w:p>
      <w:pPr>
        <w:spacing w:line="540" w:lineRule="exact"/>
        <w:ind w:right="1440" w:firstLine="480"/>
        <w:jc w:val="right"/>
        <w:rPr>
          <w:rFonts w:eastAsia="仿宋_GB2312"/>
          <w:bCs/>
          <w:sz w:val="24"/>
          <w:szCs w:val="24"/>
        </w:rPr>
      </w:pPr>
      <w:r>
        <w:rPr>
          <w:rFonts w:eastAsia="仿宋_GB2312"/>
          <w:bCs/>
          <w:sz w:val="24"/>
          <w:szCs w:val="24"/>
        </w:rPr>
        <w:t xml:space="preserve"> </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71"/>
        <w:gridCol w:w="964"/>
        <w:gridCol w:w="1559"/>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姓名</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性别</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出生年月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所在</w:t>
            </w:r>
            <w:r>
              <w:rPr>
                <w:rFonts w:hint="eastAsia" w:ascii="仿宋_GB2312" w:eastAsia="仿宋_GB2312"/>
                <w:bCs/>
                <w:sz w:val="24"/>
                <w:szCs w:val="24"/>
              </w:rPr>
              <w:t>校区</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国籍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是否为华裔</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hint="eastAsia" w:eastAsia="仿宋_GB2312"/>
                <w:bCs/>
                <w:sz w:val="24"/>
                <w:szCs w:val="24"/>
                <w:lang w:eastAsia="zh-CN"/>
              </w:rPr>
            </w:pPr>
            <w:r>
              <w:rPr>
                <w:rFonts w:hint="eastAsia" w:ascii="仿宋_GB2312" w:eastAsia="仿宋_GB2312"/>
                <w:bCs/>
                <w:sz w:val="24"/>
                <w:szCs w:val="24"/>
                <w:lang w:eastAsia="zh-CN"/>
              </w:rPr>
              <w:t>学院及专业</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hint="eastAsia" w:ascii="仿宋_GB2312" w:eastAsia="仿宋_GB2312"/>
                <w:bCs/>
                <w:sz w:val="24"/>
                <w:szCs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hint="eastAsia" w:ascii="仿宋_GB2312" w:eastAsia="仿宋_GB2312"/>
                <w:bCs/>
                <w:sz w:val="24"/>
                <w:szCs w:val="24"/>
              </w:rPr>
              <w:t>本/硕/博</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电话</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QQ号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电子邮箱</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诵读篇目</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hint="eastAsia" w:ascii="仿宋_GB2312" w:eastAsia="仿宋_GB2312"/>
                <w:bCs/>
                <w:sz w:val="24"/>
                <w:szCs w:val="24"/>
                <w:lang w:val="en-US" w:eastAsia="zh-CN"/>
              </w:rPr>
              <w:t>篇目</w:t>
            </w:r>
            <w:r>
              <w:rPr>
                <w:rFonts w:ascii="仿宋_GB2312" w:eastAsia="仿宋_GB2312"/>
                <w:bCs/>
                <w:sz w:val="24"/>
                <w:szCs w:val="24"/>
              </w:rPr>
              <w:t>作者</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r>
    </w:tbl>
    <w:p>
      <w:pPr>
        <w:spacing w:line="540" w:lineRule="exact"/>
        <w:ind w:firstLine="640"/>
      </w:pPr>
      <w:r>
        <w:rPr>
          <w:rFonts w:eastAsia="仿宋_GB231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56107"/>
    <w:multiLevelType w:val="multilevel"/>
    <w:tmpl w:val="04F56107"/>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3"/>
      <w:suff w:val="nothing"/>
      <w:lvlText w:val="（%2）"/>
      <w:lvlJc w:val="left"/>
      <w:pPr>
        <w:ind w:left="0" w:firstLine="0"/>
      </w:pPr>
      <w:rPr>
        <w:rFonts w:hint="eastAsia"/>
      </w:rPr>
    </w:lvl>
    <w:lvl w:ilvl="2" w:tentative="0">
      <w:start w:val="1"/>
      <w:numFmt w:val="decimal"/>
      <w:suff w:val="nothing"/>
      <w:lvlText w:val="%3．"/>
      <w:lvlJc w:val="righ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71BD4CBA"/>
    <w:multiLevelType w:val="multilevel"/>
    <w:tmpl w:val="71BD4CBA"/>
    <w:lvl w:ilvl="0" w:tentative="0">
      <w:start w:val="1"/>
      <w:numFmt w:val="decimal"/>
      <w:suff w:val="nothing"/>
      <w:lvlText w:val="%1."/>
      <w:lvlJc w:val="left"/>
      <w:pPr>
        <w:ind w:left="0" w:leftChars="0" w:firstLine="0" w:firstLineChars="0"/>
      </w:pPr>
      <w:rPr>
        <w:rFonts w:hint="eastAsia"/>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jlhNGExOTEyNDMzZjRiMDMzNTE2OGI4YWExOTMifQ=="/>
  </w:docVars>
  <w:rsids>
    <w:rsidRoot w:val="00000000"/>
    <w:rsid w:val="7887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qFormat/>
    <w:uiPriority w:val="9"/>
    <w:pPr>
      <w:numPr>
        <w:ilvl w:val="0"/>
        <w:numId w:val="1"/>
      </w:numPr>
      <w:ind w:firstLine="200"/>
      <w:jc w:val="left"/>
      <w:outlineLvl w:val="0"/>
    </w:pPr>
    <w:rPr>
      <w:rFonts w:eastAsia="黑体"/>
      <w:bCs/>
      <w:kern w:val="44"/>
      <w:szCs w:val="44"/>
    </w:rPr>
  </w:style>
  <w:style w:type="paragraph" w:styleId="3">
    <w:name w:val="heading 2"/>
    <w:basedOn w:val="1"/>
    <w:next w:val="1"/>
    <w:unhideWhenUsed/>
    <w:qFormat/>
    <w:uiPriority w:val="9"/>
    <w:pPr>
      <w:numPr>
        <w:ilvl w:val="1"/>
        <w:numId w:val="1"/>
      </w:numPr>
      <w:ind w:firstLine="200"/>
      <w:outlineLvl w:val="1"/>
    </w:pPr>
    <w:rPr>
      <w:rFonts w:eastAsia="楷体" w:cstheme="majorBidi"/>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11附件顺序号"/>
    <w:basedOn w:val="1"/>
    <w:next w:val="7"/>
    <w:qFormat/>
    <w:uiPriority w:val="0"/>
    <w:pPr>
      <w:pageBreakBefore/>
      <w:spacing w:after="100" w:afterLines="100"/>
      <w:outlineLvl w:val="0"/>
    </w:pPr>
    <w:rPr>
      <w:rFonts w:eastAsia="黑体"/>
    </w:rPr>
  </w:style>
  <w:style w:type="paragraph" w:customStyle="1" w:styleId="7">
    <w:name w:val="00公文标题"/>
    <w:basedOn w:val="1"/>
    <w:next w:val="8"/>
    <w:qFormat/>
    <w:uiPriority w:val="0"/>
    <w:pPr>
      <w:spacing w:after="100" w:afterLines="100" w:line="720" w:lineRule="exact"/>
      <w:ind w:firstLine="0" w:firstLineChars="0"/>
      <w:jc w:val="center"/>
      <w:outlineLvl w:val="0"/>
    </w:pPr>
    <w:rPr>
      <w:rFonts w:eastAsia="方正小标宋简体"/>
      <w:sz w:val="44"/>
    </w:rPr>
  </w:style>
  <w:style w:type="paragraph" w:customStyle="1" w:styleId="8">
    <w:name w:val="05主送机关"/>
    <w:basedOn w:val="1"/>
    <w:qFormat/>
    <w:uiPriority w:val="0"/>
    <w:pPr>
      <w:ind w:firstLine="0" w:firstLineChars="0"/>
    </w:pPr>
  </w:style>
  <w:style w:type="paragraph" w:customStyle="1" w:styleId="9">
    <w:name w:val="列出段落1"/>
    <w:basedOn w:val="1"/>
    <w:qFormat/>
    <w:uiPriority w:val="0"/>
    <w:pPr>
      <w:widowControl/>
      <w:spacing w:line="240" w:lineRule="auto"/>
      <w:ind w:firstLine="420"/>
      <w:jc w:val="left"/>
    </w:pPr>
    <w:rPr>
      <w:rFonts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2023-10-13T08:40:46Z</dcterms:created>
  <dc:creator>ASUS</dc:creator>
  <cp:lastModifiedBy>漆丹阳</cp:lastModifiedBy>
  <dcterms:modified xsi:type="dcterms:W3CDTF">2023-10-13T08:40:59Z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23F6328F4171459CB7ECC99A642495F0_12</vt:lpwstr>
  </property>
</Properties>
</file>